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3C" w:rsidRDefault="0011163C" w:rsidP="0011163C">
      <w:pPr>
        <w:rPr>
          <w:sz w:val="28"/>
          <w:szCs w:val="28"/>
        </w:rPr>
      </w:pPr>
      <w:r>
        <w:rPr>
          <w:sz w:val="28"/>
          <w:szCs w:val="28"/>
        </w:rPr>
        <w:t>Proposed code language for consistency with SB 804</w:t>
      </w:r>
    </w:p>
    <w:p w:rsidR="0011163C" w:rsidRDefault="0011163C" w:rsidP="0011163C">
      <w:pPr>
        <w:rPr>
          <w:rFonts w:ascii="Times New Roman" w:hAnsi="Times New Roman" w:cs="Times New Roman"/>
          <w:b/>
          <w:sz w:val="24"/>
          <w:szCs w:val="24"/>
          <w:u w:val="single"/>
        </w:rPr>
      </w:pPr>
      <w:r>
        <w:rPr>
          <w:rFonts w:ascii="Times New Roman" w:hAnsi="Times New Roman" w:cs="Times New Roman"/>
          <w:b/>
          <w:sz w:val="24"/>
          <w:szCs w:val="24"/>
          <w:u w:val="single"/>
        </w:rPr>
        <w:t xml:space="preserve">SB 804 – Section 6/553.80 FS </w:t>
      </w: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  Subsection (9) is added to section 553.80,   Florida Statutes, to read:</w:t>
      </w: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553.80</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Enforcement.—</w:t>
      </w: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u w:val="single"/>
        </w:rPr>
        <w:t>(9)</w:t>
      </w:r>
      <w:r>
        <w:rPr>
          <w:rFonts w:ascii="Times New Roman" w:eastAsia="Times New Roman" w:hAnsi="Times New Roman" w:cs="Times New Roman"/>
          <w:color w:val="000000" w:themeColor="text1"/>
          <w:sz w:val="24"/>
          <w:szCs w:val="24"/>
          <w:u w:val="single"/>
        </w:rPr>
        <w:t> </w:t>
      </w:r>
      <w:r>
        <w:rPr>
          <w:rFonts w:ascii="Times New Roman" w:eastAsia="Times New Roman" w:hAnsi="Times New Roman" w:cs="Times New Roman"/>
          <w:color w:val="000000" w:themeColor="text1"/>
          <w:sz w:val="24"/>
          <w:szCs w:val="24"/>
          <w:u w:val="single"/>
        </w:rPr>
        <w:t xml:space="preserve">A single-family or two-family dwelling that is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u w:val="single"/>
        </w:rPr>
        <w:t>converted into a certified recovery residence, as defined in s.  397.311, or a recovery residence, as defined in s. 397.311, that</w:t>
      </w: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u w:val="single"/>
        </w:rPr>
        <w:t xml:space="preserve">has a charter from an entity recognized or sanctioned by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u w:val="single"/>
        </w:rPr>
        <w:t xml:space="preserve">Congress does not have a change of occupancy as defined in the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u w:val="single"/>
        </w:rPr>
        <w:t>Florida Building Code solely due to such conversion.</w:t>
      </w:r>
    </w:p>
    <w:p w:rsidR="0011163C" w:rsidRDefault="0011163C" w:rsidP="0011163C">
      <w:pPr>
        <w:rPr>
          <w:rFonts w:ascii="Times New Roman" w:hAnsi="Times New Roman" w:cs="Times New Roman"/>
          <w:b/>
          <w:sz w:val="24"/>
          <w:szCs w:val="24"/>
          <w:u w:val="single"/>
        </w:rPr>
      </w:pPr>
    </w:p>
    <w:p w:rsidR="0011163C" w:rsidRDefault="0011163C" w:rsidP="0011163C">
      <w:pPr>
        <w:rPr>
          <w:rFonts w:ascii="Times New Roman" w:hAnsi="Times New Roman" w:cs="Times New Roman"/>
          <w:b/>
          <w:sz w:val="24"/>
          <w:szCs w:val="24"/>
          <w:u w:val="single"/>
        </w:rPr>
      </w:pPr>
      <w:r>
        <w:rPr>
          <w:rFonts w:ascii="Times New Roman" w:hAnsi="Times New Roman" w:cs="Times New Roman"/>
          <w:b/>
          <w:sz w:val="24"/>
          <w:szCs w:val="24"/>
          <w:u w:val="single"/>
        </w:rPr>
        <w:t>Proposed code changes to the 7</w:t>
      </w:r>
      <w:r>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Edition (2020) Florida Building Code – Existing Building </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CHAPTER 5 PRESCRIPTIVE COMPLIANCE METHOD</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SECTION 506 CHANGE OF OCCUPANCY</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Revise Section 506.1 Conformance to read as follows:</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change shall be made in the use or occupancy of any building unless such building is made to comply with the requirements of the </w:t>
      </w:r>
      <w:r>
        <w:rPr>
          <w:rFonts w:ascii="Times New Roman" w:hAnsi="Times New Roman" w:cs="Times New Roman"/>
          <w:i/>
          <w:iCs/>
          <w:sz w:val="24"/>
          <w:szCs w:val="24"/>
        </w:rPr>
        <w:t xml:space="preserve">Florida Building Code, Building </w:t>
      </w:r>
      <w:r>
        <w:rPr>
          <w:rFonts w:ascii="Times New Roman" w:hAnsi="Times New Roman" w:cs="Times New Roman"/>
          <w:sz w:val="24"/>
          <w:szCs w:val="24"/>
        </w:rPr>
        <w:t>for the use or occupancy. Changes in use or occupancy in a building or portion thereof shall be such that the</w:t>
      </w:r>
    </w:p>
    <w:p w:rsidR="0011163C" w:rsidRDefault="0011163C" w:rsidP="001116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existing building is no less complying with the provisions of this code than the existing building or structure was prior to the change. Subject to the approval of the building official, the use or occupancy of </w:t>
      </w:r>
      <w:r>
        <w:rPr>
          <w:rFonts w:ascii="Times New Roman" w:hAnsi="Times New Roman" w:cs="Times New Roman"/>
          <w:i/>
          <w:iCs/>
          <w:sz w:val="24"/>
          <w:szCs w:val="24"/>
        </w:rPr>
        <w:t xml:space="preserve">existing buildings </w:t>
      </w:r>
      <w:r>
        <w:rPr>
          <w:rFonts w:ascii="Times New Roman" w:hAnsi="Times New Roman" w:cs="Times New Roman"/>
          <w:sz w:val="24"/>
          <w:szCs w:val="24"/>
        </w:rPr>
        <w:t>shall be permitted to be changed and the building is allowed to be occupied for purposes in other groups without conforming to all of the requirements of this code for those groups, provided the new or proposed use is less hazardous, based on life and fire risk, than the existing use.</w:t>
      </w:r>
    </w:p>
    <w:p w:rsidR="0011163C" w:rsidRDefault="0011163C" w:rsidP="0011163C">
      <w:pPr>
        <w:autoSpaceDE w:val="0"/>
        <w:autoSpaceDN w:val="0"/>
        <w:adjustRightInd w:val="0"/>
        <w:spacing w:after="0" w:line="240" w:lineRule="auto"/>
        <w:rPr>
          <w:rFonts w:ascii="Times New Roman" w:hAnsi="Times New Roman" w:cs="Times New Roman"/>
          <w:sz w:val="24"/>
          <w:szCs w:val="24"/>
        </w:rPr>
      </w:pP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Exception</w:t>
      </w:r>
      <w:r>
        <w:rPr>
          <w:rFonts w:ascii="Times New Roman" w:hAnsi="Times New Roman" w:cs="Times New Roman"/>
          <w:b/>
          <w:bCs/>
          <w:sz w:val="24"/>
          <w:szCs w:val="24"/>
          <w:u w:val="single"/>
        </w:rPr>
        <w:t>s</w:t>
      </w:r>
      <w:r>
        <w:rPr>
          <w:rFonts w:ascii="Times New Roman" w:hAnsi="Times New Roman" w:cs="Times New Roman"/>
          <w:b/>
          <w:bCs/>
          <w:sz w:val="24"/>
          <w:szCs w:val="24"/>
        </w:rPr>
        <w:t xml:space="preserve">: </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building need not be made to comply with the seismic requirements for a new structure unless required by Section 506.4.</w:t>
      </w:r>
    </w:p>
    <w:p w:rsidR="0011163C" w:rsidRDefault="0011163C" w:rsidP="0011163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rsidR="0011163C" w:rsidRDefault="0011163C" w:rsidP="0011163C">
      <w:pPr>
        <w:pStyle w:val="ListParagraph"/>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CHAPTER 10 CHANGE OF OCCUPANCY</w:t>
      </w:r>
    </w:p>
    <w:p w:rsidR="0011163C" w:rsidRDefault="0011163C" w:rsidP="0011163C">
      <w:pPr>
        <w:autoSpaceDE w:val="0"/>
        <w:autoSpaceDN w:val="0"/>
        <w:adjustRightInd w:val="0"/>
        <w:spacing w:after="0" w:line="240" w:lineRule="auto"/>
        <w:rPr>
          <w:rFonts w:ascii="Times New Roman" w:hAnsi="Times New Roman" w:cs="Times New Roman"/>
          <w:b/>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SECTION 1001 GENERAL</w:t>
      </w:r>
    </w:p>
    <w:p w:rsidR="0011163C" w:rsidRDefault="0011163C" w:rsidP="0011163C">
      <w:pPr>
        <w:autoSpaceDE w:val="0"/>
        <w:autoSpaceDN w:val="0"/>
        <w:adjustRightInd w:val="0"/>
        <w:spacing w:after="0" w:line="240" w:lineRule="auto"/>
        <w:rPr>
          <w:rFonts w:ascii="Times New Roman" w:hAnsi="Times New Roman" w:cs="Times New Roman"/>
          <w:bCs/>
          <w:sz w:val="24"/>
          <w:szCs w:val="24"/>
        </w:rPr>
      </w:pPr>
    </w:p>
    <w:p w:rsidR="0011163C" w:rsidRDefault="0011163C" w:rsidP="0011163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Revise Section 1001.2.2 Change of occupancy classification or group to read as follows:</w:t>
      </w:r>
    </w:p>
    <w:p w:rsidR="0011163C" w:rsidRDefault="0011163C" w:rsidP="0011163C">
      <w:pPr>
        <w:autoSpaceDE w:val="0"/>
        <w:autoSpaceDN w:val="0"/>
        <w:adjustRightInd w:val="0"/>
        <w:spacing w:after="0" w:line="240" w:lineRule="auto"/>
        <w:rPr>
          <w:rFonts w:ascii="Times New Roman" w:hAnsi="Times New Roman" w:cs="Times New Roman"/>
          <w:sz w:val="24"/>
          <w:szCs w:val="24"/>
        </w:rPr>
      </w:pPr>
    </w:p>
    <w:p w:rsidR="0011163C" w:rsidRDefault="0011163C" w:rsidP="001116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the occupancy classification of a building changes, the provisions of Sections 1002 through 1012 shall apply. This includes a </w:t>
      </w:r>
      <w:r>
        <w:rPr>
          <w:rFonts w:ascii="Times New Roman" w:hAnsi="Times New Roman" w:cs="Times New Roman"/>
          <w:i/>
          <w:iCs/>
          <w:sz w:val="24"/>
          <w:szCs w:val="24"/>
        </w:rPr>
        <w:t xml:space="preserve">change of occupancy </w:t>
      </w:r>
      <w:r>
        <w:rPr>
          <w:rFonts w:ascii="Times New Roman" w:hAnsi="Times New Roman" w:cs="Times New Roman"/>
          <w:sz w:val="24"/>
          <w:szCs w:val="24"/>
        </w:rPr>
        <w:t>classification and a change to another group within an occupancy classification.</w:t>
      </w:r>
    </w:p>
    <w:p w:rsidR="0011163C" w:rsidRDefault="0011163C" w:rsidP="0011163C">
      <w:pPr>
        <w:autoSpaceDE w:val="0"/>
        <w:autoSpaceDN w:val="0"/>
        <w:adjustRightInd w:val="0"/>
        <w:spacing w:after="0" w:line="240" w:lineRule="auto"/>
        <w:rPr>
          <w:rFonts w:ascii="Times New Roman" w:hAnsi="Times New Roman" w:cs="Times New Roman"/>
          <w:sz w:val="24"/>
          <w:szCs w:val="24"/>
        </w:rPr>
      </w:pPr>
    </w:p>
    <w:p w:rsidR="0011163C" w:rsidRDefault="0011163C" w:rsidP="0011163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Exception: </w:t>
      </w: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u w:val="single"/>
        </w:rPr>
      </w:pPr>
    </w:p>
    <w:p w:rsidR="0011163C" w:rsidRDefault="0011163C" w:rsidP="0011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rsidR="0011163C" w:rsidRDefault="0011163C" w:rsidP="0011163C">
      <w:pPr>
        <w:spacing w:after="0" w:line="240" w:lineRule="auto"/>
        <w:rPr>
          <w:rFonts w:ascii="Times New Roman" w:hAnsi="Times New Roman" w:cs="Times New Roman"/>
          <w:b/>
          <w:color w:val="1F497D"/>
          <w:sz w:val="24"/>
          <w:szCs w:val="24"/>
        </w:rPr>
      </w:pPr>
    </w:p>
    <w:p w:rsidR="0011163C" w:rsidRDefault="004F19ED" w:rsidP="0011163C">
      <w:pPr>
        <w:spacing w:after="0" w:line="240" w:lineRule="auto"/>
        <w:rPr>
          <w:rFonts w:ascii="Times New Roman" w:hAnsi="Times New Roman" w:cs="Times New Roman"/>
          <w:b/>
          <w:color w:val="1F497D"/>
          <w:sz w:val="24"/>
          <w:szCs w:val="24"/>
        </w:rPr>
      </w:pPr>
      <w:r>
        <w:rPr>
          <w:rFonts w:ascii="Times New Roman" w:hAnsi="Times New Roman" w:cs="Times New Roman"/>
          <w:b/>
          <w:color w:val="1F497D"/>
          <w:sz w:val="24"/>
          <w:szCs w:val="24"/>
        </w:rPr>
        <w:t xml:space="preserve">Fire </w:t>
      </w:r>
      <w:bookmarkStart w:id="0" w:name="_GoBack"/>
      <w:bookmarkEnd w:id="0"/>
      <w:r w:rsidR="0011163C">
        <w:rPr>
          <w:rFonts w:ascii="Times New Roman" w:hAnsi="Times New Roman" w:cs="Times New Roman"/>
          <w:b/>
          <w:color w:val="1F497D"/>
          <w:sz w:val="24"/>
          <w:szCs w:val="24"/>
        </w:rPr>
        <w:t xml:space="preserve">TAC Recommendation: </w:t>
      </w:r>
      <w:r w:rsidR="0011163C">
        <w:rPr>
          <w:rFonts w:ascii="Times New Roman" w:hAnsi="Times New Roman" w:cs="Times New Roman"/>
          <w:b/>
          <w:sz w:val="24"/>
          <w:szCs w:val="24"/>
        </w:rPr>
        <w:t>AS</w:t>
      </w:r>
    </w:p>
    <w:p w:rsidR="0011163C" w:rsidRDefault="0011163C" w:rsidP="0011163C">
      <w:pPr>
        <w:spacing w:after="0" w:line="240" w:lineRule="auto"/>
        <w:rPr>
          <w:rFonts w:ascii="Times New Roman" w:hAnsi="Times New Roman" w:cs="Times New Roman"/>
          <w:b/>
          <w:color w:val="1F497D"/>
          <w:sz w:val="24"/>
          <w:szCs w:val="24"/>
        </w:rPr>
      </w:pPr>
    </w:p>
    <w:p w:rsidR="0011163C" w:rsidRDefault="0011163C" w:rsidP="0011163C">
      <w:pPr>
        <w:spacing w:after="0" w:line="240" w:lineRule="auto"/>
        <w:rPr>
          <w:rFonts w:ascii="Calibri" w:hAnsi="Calibri" w:cs="Calibri"/>
          <w:b/>
          <w:color w:val="000000"/>
        </w:rPr>
      </w:pPr>
      <w:r>
        <w:rPr>
          <w:rFonts w:ascii="Times New Roman" w:hAnsi="Times New Roman" w:cs="Times New Roman"/>
          <w:b/>
          <w:color w:val="1F497D"/>
          <w:sz w:val="24"/>
          <w:szCs w:val="24"/>
        </w:rPr>
        <w:t>Commission Action:</w:t>
      </w:r>
    </w:p>
    <w:p w:rsidR="0011163C" w:rsidRDefault="0011163C" w:rsidP="0011163C"/>
    <w:p w:rsidR="00E22831" w:rsidRDefault="00E22831"/>
    <w:sectPr w:rsidR="00E228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A8" w:rsidRDefault="00CF4BA8" w:rsidP="00CF4BA8">
      <w:pPr>
        <w:spacing w:after="0" w:line="240" w:lineRule="auto"/>
      </w:pPr>
      <w:r>
        <w:separator/>
      </w:r>
    </w:p>
  </w:endnote>
  <w:endnote w:type="continuationSeparator" w:id="0">
    <w:p w:rsidR="00CF4BA8" w:rsidRDefault="00CF4BA8" w:rsidP="00CF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A8" w:rsidRDefault="00CF4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922126"/>
      <w:docPartObj>
        <w:docPartGallery w:val="Page Numbers (Bottom of Page)"/>
        <w:docPartUnique/>
      </w:docPartObj>
    </w:sdtPr>
    <w:sdtEndPr>
      <w:rPr>
        <w:noProof/>
      </w:rPr>
    </w:sdtEndPr>
    <w:sdtContent>
      <w:p w:rsidR="00CF4BA8" w:rsidRDefault="00CF4BA8">
        <w:pPr>
          <w:pStyle w:val="Footer"/>
          <w:jc w:val="right"/>
        </w:pPr>
        <w:r>
          <w:fldChar w:fldCharType="begin"/>
        </w:r>
        <w:r>
          <w:instrText xml:space="preserve"> PAGE   \* MERGEFORMAT </w:instrText>
        </w:r>
        <w:r>
          <w:fldChar w:fldCharType="separate"/>
        </w:r>
        <w:r w:rsidR="004F19ED">
          <w:rPr>
            <w:noProof/>
          </w:rPr>
          <w:t>2</w:t>
        </w:r>
        <w:r>
          <w:rPr>
            <w:noProof/>
          </w:rPr>
          <w:fldChar w:fldCharType="end"/>
        </w:r>
      </w:p>
    </w:sdtContent>
  </w:sdt>
  <w:p w:rsidR="00CF4BA8" w:rsidRDefault="00CF4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A8" w:rsidRDefault="00CF4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A8" w:rsidRDefault="00CF4BA8" w:rsidP="00CF4BA8">
      <w:pPr>
        <w:spacing w:after="0" w:line="240" w:lineRule="auto"/>
      </w:pPr>
      <w:r>
        <w:separator/>
      </w:r>
    </w:p>
  </w:footnote>
  <w:footnote w:type="continuationSeparator" w:id="0">
    <w:p w:rsidR="00CF4BA8" w:rsidRDefault="00CF4BA8" w:rsidP="00CF4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A8" w:rsidRDefault="00CF4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A8" w:rsidRDefault="00CF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A8" w:rsidRDefault="00CF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8EE"/>
    <w:multiLevelType w:val="hybridMultilevel"/>
    <w:tmpl w:val="939A138C"/>
    <w:lvl w:ilvl="0" w:tplc="D39E00C2">
      <w:start w:val="1"/>
      <w:numFmt w:val="decimal"/>
      <w:lvlText w:val="%1."/>
      <w:lvlJc w:val="left"/>
      <w:pPr>
        <w:ind w:left="720" w:hanging="360"/>
      </w:pPr>
      <w:rPr>
        <w:rFonts w:ascii="TimesNewRoman" w:hAnsi="TimesNewRoman" w:cs="TimesNew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3C"/>
    <w:rsid w:val="0011163C"/>
    <w:rsid w:val="004F19ED"/>
    <w:rsid w:val="00CF4BA8"/>
    <w:rsid w:val="00D82D93"/>
    <w:rsid w:val="00E2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63C"/>
    <w:pPr>
      <w:ind w:left="720"/>
      <w:contextualSpacing/>
    </w:pPr>
  </w:style>
  <w:style w:type="paragraph" w:styleId="Header">
    <w:name w:val="header"/>
    <w:basedOn w:val="Normal"/>
    <w:link w:val="HeaderChar"/>
    <w:uiPriority w:val="99"/>
    <w:unhideWhenUsed/>
    <w:rsid w:val="00CF4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A8"/>
  </w:style>
  <w:style w:type="paragraph" w:styleId="Footer">
    <w:name w:val="footer"/>
    <w:basedOn w:val="Normal"/>
    <w:link w:val="FooterChar"/>
    <w:uiPriority w:val="99"/>
    <w:unhideWhenUsed/>
    <w:rsid w:val="00CF4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63C"/>
    <w:pPr>
      <w:ind w:left="720"/>
      <w:contextualSpacing/>
    </w:pPr>
  </w:style>
  <w:style w:type="paragraph" w:styleId="Header">
    <w:name w:val="header"/>
    <w:basedOn w:val="Normal"/>
    <w:link w:val="HeaderChar"/>
    <w:uiPriority w:val="99"/>
    <w:unhideWhenUsed/>
    <w:rsid w:val="00CF4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A8"/>
  </w:style>
  <w:style w:type="paragraph" w:styleId="Footer">
    <w:name w:val="footer"/>
    <w:basedOn w:val="Normal"/>
    <w:link w:val="FooterChar"/>
    <w:uiPriority w:val="99"/>
    <w:unhideWhenUsed/>
    <w:rsid w:val="00CF4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dcterms:created xsi:type="dcterms:W3CDTF">2021-08-02T19:47:00Z</dcterms:created>
  <dcterms:modified xsi:type="dcterms:W3CDTF">2021-08-03T15:04:00Z</dcterms:modified>
</cp:coreProperties>
</file>